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outlineLvl w:val="0"/>
        <w:rPr>
          <w:b/>
          <w:bCs/>
          <w:sz w:val="24"/>
        </w:rPr>
      </w:pPr>
      <w:r>
        <w:rPr>
          <w:rFonts w:hint="eastAsia"/>
          <w:b/>
          <w:bCs/>
          <w:sz w:val="24"/>
        </w:rPr>
        <w:t>附件一：</w:t>
      </w:r>
    </w:p>
    <w:p>
      <w:pPr>
        <w:spacing w:line="360" w:lineRule="auto"/>
        <w:ind w:firstLine="482"/>
        <w:rPr>
          <w:b/>
          <w:bCs/>
          <w:sz w:val="24"/>
        </w:rPr>
      </w:pPr>
      <w:r>
        <w:rPr>
          <w:rFonts w:hint="eastAsia"/>
          <w:b/>
          <w:bCs/>
          <w:sz w:val="24"/>
        </w:rPr>
        <w:t>关于茂典资产月月红固定收益投资1号私募投资基金进入清算程序或继续运作的议案</w:t>
      </w:r>
    </w:p>
    <w:p>
      <w:pPr>
        <w:spacing w:line="360" w:lineRule="auto"/>
        <w:ind w:firstLine="480"/>
        <w:rPr>
          <w:sz w:val="24"/>
        </w:rPr>
      </w:pPr>
      <w:r>
        <w:rPr>
          <w:rFonts w:hint="eastAsia"/>
          <w:sz w:val="24"/>
        </w:rPr>
        <w:t>茂典资产月月红固定收益投资1号私募投资基金</w:t>
      </w:r>
      <w:r>
        <w:rPr>
          <w:sz w:val="24"/>
        </w:rPr>
        <w:t>是月度开放产品</w:t>
      </w:r>
      <w:r>
        <w:rPr>
          <w:rFonts w:hint="eastAsia"/>
          <w:sz w:val="24"/>
        </w:rPr>
        <w:t>。</w:t>
      </w:r>
      <w:r>
        <w:rPr>
          <w:sz w:val="24"/>
        </w:rPr>
        <w:t>当前的产品估值无法正确反映地产债的公允价值的情况下</w:t>
      </w:r>
      <w:r>
        <w:rPr>
          <w:rFonts w:hint="eastAsia"/>
          <w:sz w:val="24"/>
        </w:rPr>
        <w:t>，如继续维持产品开放赎回，将</w:t>
      </w:r>
      <w:r>
        <w:rPr>
          <w:rFonts w:hint="eastAsia" w:asciiTheme="minorHAnsi" w:eastAsiaTheme="minorEastAsia"/>
          <w:sz w:val="24"/>
          <w:lang w:val="en-US" w:eastAsia="zh-CN"/>
        </w:rPr>
        <w:t>导致基金份额持有人之间权益的不平等</w:t>
      </w:r>
      <w:r>
        <w:rPr>
          <w:rFonts w:hint="eastAsia"/>
          <w:sz w:val="24"/>
        </w:rPr>
        <w:t>，有悖于公平对待投资者的要求。</w:t>
      </w:r>
    </w:p>
    <w:p>
      <w:pPr>
        <w:spacing w:line="360" w:lineRule="auto"/>
        <w:ind w:firstLine="480"/>
        <w:rPr>
          <w:sz w:val="24"/>
        </w:rPr>
      </w:pPr>
      <w:r>
        <w:rPr>
          <w:rFonts w:hint="eastAsia"/>
          <w:sz w:val="24"/>
        </w:rPr>
        <w:t>故此，本次基金份额持有人大会的目的就在于通过表决，形成能够保证基金份额持有人权益公平的决议。参会的基金份额持有人应当在以下选项中</w:t>
      </w:r>
      <w:r>
        <w:rPr>
          <w:rFonts w:hint="eastAsia"/>
          <w:b/>
          <w:bCs/>
          <w:sz w:val="24"/>
        </w:rPr>
        <w:t>选择一项</w:t>
      </w:r>
      <w:r>
        <w:rPr>
          <w:rFonts w:hint="eastAsia"/>
          <w:sz w:val="24"/>
        </w:rPr>
        <w:t>进行表决</w:t>
      </w:r>
      <w:r>
        <w:rPr>
          <w:rFonts w:hint="eastAsia" w:eastAsiaTheme="minorEastAsia"/>
          <w:b/>
          <w:bCs/>
          <w:sz w:val="24"/>
          <w:lang w:eastAsia="zh-CN"/>
        </w:rPr>
        <w:t>（</w:t>
      </w:r>
      <w:r>
        <w:rPr>
          <w:rFonts w:hint="eastAsia" w:asciiTheme="minorHAnsi" w:eastAsiaTheme="minorEastAsia"/>
          <w:b/>
          <w:bCs/>
          <w:sz w:val="24"/>
          <w:lang w:val="en-US" w:eastAsia="zh-CN"/>
        </w:rPr>
        <w:t>选择一项以上的，视为弃权</w:t>
      </w:r>
      <w:r>
        <w:rPr>
          <w:rFonts w:hint="eastAsia" w:eastAsiaTheme="minorEastAsia"/>
          <w:b/>
          <w:bCs/>
          <w:sz w:val="24"/>
          <w:lang w:eastAsia="zh-CN"/>
        </w:rPr>
        <w:t>）</w:t>
      </w:r>
      <w:r>
        <w:rPr>
          <w:rFonts w:hint="eastAsia"/>
          <w:sz w:val="24"/>
        </w:rPr>
        <w:t>：</w:t>
      </w:r>
    </w:p>
    <w:p>
      <w:pPr>
        <w:spacing w:line="360" w:lineRule="auto"/>
        <w:ind w:firstLine="480"/>
        <w:rPr>
          <w:sz w:val="24"/>
        </w:rPr>
      </w:pPr>
      <w:r>
        <w:rPr>
          <w:rFonts w:hint="eastAsia"/>
          <w:b/>
          <w:bCs/>
          <w:sz w:val="24"/>
        </w:rPr>
        <w:t>选项一：产品提前终止，进入清算程序</w:t>
      </w:r>
    </w:p>
    <w:p>
      <w:pPr>
        <w:spacing w:line="360" w:lineRule="auto"/>
        <w:ind w:firstLine="480"/>
        <w:rPr>
          <w:sz w:val="24"/>
        </w:rPr>
      </w:pPr>
      <w:r>
        <w:rPr>
          <w:rFonts w:hint="eastAsia"/>
          <w:sz w:val="24"/>
        </w:rPr>
        <w:t>如选项一通过，《茂典资产月月红固定收益投资1号私募投资基金合同》将提前</w:t>
      </w:r>
      <w:r>
        <w:rPr>
          <w:rFonts w:hint="eastAsia" w:asciiTheme="minorHAnsi" w:eastAsiaTheme="minorEastAsia"/>
          <w:sz w:val="24"/>
          <w:lang w:val="en-US" w:eastAsia="zh-CN"/>
        </w:rPr>
        <w:t>终止，基金将</w:t>
      </w:r>
      <w:r>
        <w:rPr>
          <w:rFonts w:hint="eastAsia"/>
          <w:sz w:val="24"/>
        </w:rPr>
        <w:t>进入清算程序，依据</w:t>
      </w:r>
      <w:r>
        <w:rPr>
          <w:rFonts w:hint="eastAsia" w:asciiTheme="minorHAnsi" w:eastAsiaTheme="minorEastAsia"/>
          <w:b/>
          <w:bCs/>
          <w:sz w:val="24"/>
          <w:lang w:val="en-US" w:eastAsia="zh-CN"/>
        </w:rPr>
        <w:t>基金合同</w:t>
      </w:r>
      <w:r>
        <w:rPr>
          <w:rFonts w:hint="eastAsia"/>
          <w:b/>
          <w:bCs/>
          <w:sz w:val="24"/>
        </w:rPr>
        <w:t>“第二十五、基金的清算”</w:t>
      </w:r>
      <w:r>
        <w:rPr>
          <w:rFonts w:hint="eastAsia"/>
          <w:sz w:val="24"/>
        </w:rPr>
        <w:t>的约定进行清算，并向基金份额持有人进行分配。</w:t>
      </w:r>
    </w:p>
    <w:p>
      <w:pPr>
        <w:spacing w:line="360" w:lineRule="auto"/>
        <w:ind w:firstLine="480"/>
        <w:rPr>
          <w:sz w:val="24"/>
        </w:rPr>
      </w:pPr>
      <w:r>
        <w:rPr>
          <w:rFonts w:hint="eastAsia"/>
          <w:b/>
          <w:bCs/>
          <w:sz w:val="24"/>
        </w:rPr>
        <w:t>选项二：产品在加入侧袋机制的前提下继续运作</w:t>
      </w:r>
    </w:p>
    <w:p>
      <w:pPr>
        <w:spacing w:line="360" w:lineRule="auto"/>
        <w:ind w:firstLine="480"/>
        <w:rPr>
          <w:sz w:val="24"/>
        </w:rPr>
      </w:pPr>
      <w:r>
        <w:rPr>
          <w:rFonts w:hint="eastAsia"/>
          <w:sz w:val="24"/>
        </w:rPr>
        <w:t>如选项二通过，将对茂典资产月月红固定收益投资1号私募投资基金产生以下影响：</w:t>
      </w:r>
    </w:p>
    <w:p>
      <w:pPr>
        <w:numPr>
          <w:ilvl w:val="0"/>
          <w:numId w:val="1"/>
        </w:numPr>
        <w:spacing w:line="360" w:lineRule="auto"/>
        <w:ind w:firstLine="480"/>
        <w:rPr>
          <w:sz w:val="24"/>
        </w:rPr>
      </w:pPr>
      <w:r>
        <w:rPr>
          <w:rFonts w:hint="eastAsia"/>
          <w:sz w:val="24"/>
        </w:rPr>
        <w:t>在《茂典资产月月红固定收益投资1号私募投资基金合同》中加入侧袋机制。所谓侧袋机制，指将基金投资组合中的特定资产从原有账户分离至一个专门账户进行处置清算，目的在于有效隔离并化解风险，确保投资者得到公平对待，属于流动性风险管理工具。启用侧袋机制后，基金原有账户为主袋账户，包含特定资产的专门账户为侧袋账户。</w:t>
      </w:r>
    </w:p>
    <w:p>
      <w:pPr>
        <w:spacing w:line="360" w:lineRule="auto"/>
        <w:ind w:firstLine="480" w:firstLineChars="200"/>
        <w:rPr>
          <w:sz w:val="24"/>
        </w:rPr>
      </w:pPr>
      <w:r>
        <w:rPr>
          <w:rFonts w:hint="eastAsia"/>
          <w:sz w:val="24"/>
        </w:rPr>
        <w:t>具体而言，基金合同中将加入“二十、侧袋机制”作为专章。对于该章的具体内容，参见</w:t>
      </w:r>
      <w:r>
        <w:rPr>
          <w:rFonts w:hint="eastAsia"/>
          <w:b/>
          <w:bCs/>
          <w:sz w:val="24"/>
        </w:rPr>
        <w:t>附件二：</w:t>
      </w:r>
      <w:r>
        <w:rPr>
          <w:rFonts w:hint="eastAsia" w:eastAsiaTheme="minorEastAsia"/>
          <w:b/>
          <w:bCs/>
          <w:sz w:val="24"/>
          <w:lang w:eastAsia="zh-CN"/>
        </w:rPr>
        <w:t>《</w:t>
      </w:r>
      <w:r>
        <w:rPr>
          <w:rFonts w:hint="eastAsia" w:asciiTheme="minorHAnsi" w:eastAsiaTheme="minorEastAsia"/>
          <w:b/>
          <w:bCs/>
          <w:sz w:val="24"/>
          <w:lang w:val="en-US" w:eastAsia="zh-CN"/>
        </w:rPr>
        <w:t>二十、侧袋机制</w:t>
      </w:r>
      <w:r>
        <w:rPr>
          <w:rFonts w:hint="eastAsia" w:eastAsiaTheme="minorEastAsia"/>
          <w:b/>
          <w:bCs/>
          <w:sz w:val="24"/>
          <w:lang w:eastAsia="zh-CN"/>
        </w:rPr>
        <w:t>》</w:t>
      </w:r>
      <w:r>
        <w:rPr>
          <w:rFonts w:hint="eastAsia"/>
          <w:sz w:val="24"/>
        </w:rPr>
        <w:t xml:space="preserve">。 </w:t>
      </w:r>
    </w:p>
    <w:p>
      <w:pPr>
        <w:numPr>
          <w:ilvl w:val="0"/>
          <w:numId w:val="1"/>
        </w:numPr>
        <w:spacing w:line="360" w:lineRule="auto"/>
        <w:ind w:firstLine="480"/>
        <w:rPr>
          <w:sz w:val="24"/>
        </w:rPr>
      </w:pPr>
      <w:r>
        <w:rPr>
          <w:rFonts w:hint="eastAsia"/>
          <w:sz w:val="24"/>
        </w:rPr>
        <w:t>待上述基金合同的变更生效，且正式启用侧袋机制后，产品恢复开放，维持正常运作。</w:t>
      </w:r>
      <w:r>
        <w:rPr>
          <w:rFonts w:hint="eastAsia" w:asciiTheme="minorHAnsi" w:eastAsiaTheme="minorEastAsia"/>
          <w:sz w:val="24"/>
          <w:lang w:val="en-US" w:eastAsia="zh-CN"/>
        </w:rPr>
        <w:t>装入侧袋的资产，在资产到期还款或处置完成回款后按照当前持有人持有产品的份额比例进行分配。</w:t>
      </w:r>
    </w:p>
    <w:p>
      <w:pPr>
        <w:spacing w:line="360" w:lineRule="auto"/>
        <w:ind w:firstLine="480"/>
        <w:rPr>
          <w:b/>
          <w:bCs/>
          <w:sz w:val="24"/>
        </w:rPr>
      </w:pPr>
      <w:r>
        <w:rPr>
          <w:rFonts w:hint="eastAsia"/>
          <w:b/>
          <w:bCs/>
          <w:sz w:val="24"/>
        </w:rPr>
        <w:t>选项三：弃权</w:t>
      </w:r>
    </w:p>
    <w:p>
      <w:pPr>
        <w:spacing w:line="360" w:lineRule="auto"/>
        <w:ind w:firstLine="480"/>
        <w:rPr>
          <w:rFonts w:hint="eastAsia"/>
          <w:sz w:val="24"/>
        </w:rPr>
      </w:pPr>
      <w:r>
        <w:rPr>
          <w:rFonts w:hint="eastAsia"/>
          <w:sz w:val="24"/>
        </w:rPr>
        <w:t>选项三的通过的方式包括两种：（1）明示通过，即有参加会议的基金份额持有人所持表决权的 2/3 以上通过选项三；（2）默示通过，即选项一和选项二均未能通过。</w:t>
      </w:r>
    </w:p>
    <w:p>
      <w:pPr>
        <w:spacing w:line="360" w:lineRule="auto"/>
        <w:ind w:firstLine="480"/>
        <w:rPr>
          <w:rFonts w:hint="eastAsia"/>
          <w:sz w:val="24"/>
        </w:rPr>
      </w:pPr>
      <w:r>
        <w:rPr>
          <w:rFonts w:hint="eastAsia"/>
          <w:sz w:val="24"/>
        </w:rPr>
        <w:t>如选项三通过，茂典资产月月红固定收益投资1号私募投资基金将根据合同约定继续按照第三方估值并正常开放。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r>
        <w:rPr>
          <w:rFonts w:hint="eastAsia"/>
          <w:b/>
          <w:bCs/>
          <w:sz w:val="24"/>
        </w:rPr>
        <w:t>基金管理人特别提示：如选项三通过，可能会出现巨额赎回</w:t>
      </w:r>
      <w:r>
        <w:rPr>
          <w:rFonts w:hint="eastAsia" w:eastAsiaTheme="minorEastAsia"/>
          <w:b/>
          <w:bCs/>
          <w:sz w:val="24"/>
          <w:lang w:eastAsia="zh-CN"/>
        </w:rPr>
        <w:t>；</w:t>
      </w:r>
      <w:r>
        <w:rPr>
          <w:rFonts w:hint="eastAsia"/>
          <w:b/>
          <w:bCs/>
          <w:sz w:val="24"/>
        </w:rPr>
        <w:t>管理人根据合同约定以市场价格处置资产，</w:t>
      </w:r>
      <w:r>
        <w:rPr>
          <w:rFonts w:hint="eastAsia" w:asciiTheme="minorHAnsi" w:eastAsiaTheme="minorEastAsia"/>
          <w:b/>
          <w:bCs/>
          <w:sz w:val="24"/>
          <w:lang w:val="en-US" w:eastAsia="zh-CN"/>
        </w:rPr>
        <w:t>可能</w:t>
      </w:r>
      <w:r>
        <w:rPr>
          <w:rFonts w:hint="eastAsia"/>
          <w:b/>
          <w:bCs/>
          <w:sz w:val="24"/>
        </w:rPr>
        <w:t>会对产品净值造成巨大冲击；也有可能会造成先赎回和后赎回基金份额持有人之间权益不平等的情况。基金管理人提醒各位基金份额持有人慎重作出表决。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71F33"/>
    <w:multiLevelType w:val="singleLevel"/>
    <w:tmpl w:val="2D071F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8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2021-11-12T02:43:39Z</dcterms:created>
  <dc:creator>DELL</dc:creator>
  <cp:lastModifiedBy>Dr. Faust</cp:lastModifiedBy>
  <dcterms:modified xsi:type="dcterms:W3CDTF">2021-11-12T02:44:32Z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E660C765635F43A6BDEA4A8A8A365E0C</vt:lpwstr>
  </property>
</Properties>
</file>