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358AB" w:rsidRPr="00584F63" w:rsidRDefault="0021091C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4F63">
        <w:rPr>
          <w:rFonts w:asciiTheme="minorEastAsia" w:eastAsiaTheme="minorEastAsia" w:hAnsiTheme="minorEastAsia" w:hint="eastAsia"/>
          <w:b/>
          <w:sz w:val="44"/>
          <w:szCs w:val="44"/>
        </w:rPr>
        <w:t>嘉兴岩羊投资合伙企业（有限合伙）</w:t>
      </w: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634F" w:rsidRDefault="0088634F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1091C" w:rsidRPr="00584F63" w:rsidRDefault="0021091C" w:rsidP="00584F6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4F63">
        <w:rPr>
          <w:rFonts w:asciiTheme="minorEastAsia" w:eastAsiaTheme="minorEastAsia" w:hAnsiTheme="minorEastAsia" w:hint="eastAsia"/>
          <w:b/>
          <w:sz w:val="44"/>
          <w:szCs w:val="44"/>
        </w:rPr>
        <w:t>投资者分类管理制度</w:t>
      </w:r>
    </w:p>
    <w:p w:rsidR="00950209" w:rsidRDefault="00950209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8634F" w:rsidRPr="004D6F13" w:rsidRDefault="0088634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950209" w:rsidRDefault="00950209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93772C">
        <w:rPr>
          <w:rFonts w:asciiTheme="minorEastAsia" w:eastAsiaTheme="minorEastAsia" w:hAnsiTheme="minorEastAsia" w:hint="eastAsia"/>
          <w:sz w:val="32"/>
          <w:szCs w:val="32"/>
        </w:rPr>
        <w:lastRenderedPageBreak/>
        <w:t>一、前言</w:t>
      </w:r>
    </w:p>
    <w:p w:rsidR="0093772C" w:rsidRPr="0093772C" w:rsidRDefault="0093772C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21091C" w:rsidRPr="004D6F13" w:rsidRDefault="00F81D0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491630" w:rsidRPr="004D6F1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4D6F13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="00830CB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491630" w:rsidRPr="004D6F13">
        <w:rPr>
          <w:rFonts w:asciiTheme="minorEastAsia" w:eastAsiaTheme="minorEastAsia" w:hAnsiTheme="minorEastAsia" w:hint="eastAsia"/>
          <w:sz w:val="28"/>
          <w:szCs w:val="28"/>
        </w:rPr>
        <w:t>为保障投资者利益，适当性匹配工作的有效实施，依据《证券投资基金法》、《证券期货投资者适当性管理办法》、《私募投资基金募集行为管理办法》、《私募投资基金管理人内部控制指引》、《私募投资基金监督管理暂行办法》等法律法规，制定本制度。</w:t>
      </w:r>
    </w:p>
    <w:p w:rsidR="00491630" w:rsidRPr="004D6F13" w:rsidRDefault="00F81D0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第二条    本制度适用于所有投资岩羊产品的投资者。</w:t>
      </w:r>
    </w:p>
    <w:p w:rsidR="0093772C" w:rsidRDefault="0093772C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950209" w:rsidRDefault="00950209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93772C">
        <w:rPr>
          <w:rFonts w:asciiTheme="minorEastAsia" w:eastAsiaTheme="minorEastAsia" w:hAnsiTheme="minorEastAsia" w:hint="eastAsia"/>
          <w:sz w:val="32"/>
          <w:szCs w:val="32"/>
        </w:rPr>
        <w:t>二、合格投资者</w:t>
      </w:r>
    </w:p>
    <w:p w:rsidR="0093772C" w:rsidRPr="0093772C" w:rsidRDefault="0093772C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F81D0B" w:rsidRPr="004D6F13" w:rsidRDefault="00F81D0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第三条</w:t>
      </w:r>
      <w:r w:rsidR="00830CB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B87CEC" w:rsidRPr="004D6F13">
        <w:rPr>
          <w:rFonts w:asciiTheme="minorEastAsia" w:eastAsiaTheme="minorEastAsia" w:hAnsiTheme="minorEastAsia" w:hint="eastAsia"/>
          <w:sz w:val="28"/>
          <w:szCs w:val="28"/>
        </w:rPr>
        <w:t>嘉兴岩羊投资合伙企业（有限合伙）（一下简称：“合伙企业”或者“本合伙企业”）</w:t>
      </w:r>
      <w:r w:rsidR="00B0558E" w:rsidRPr="004D6F13">
        <w:rPr>
          <w:rFonts w:asciiTheme="minorEastAsia" w:eastAsiaTheme="minorEastAsia" w:hAnsiTheme="minorEastAsia" w:hint="eastAsia"/>
          <w:sz w:val="28"/>
          <w:szCs w:val="28"/>
        </w:rPr>
        <w:t>坚持面向合格投资者：具备相应风险识别能力和风险承担能力，投资于单只私募基金的金额不低于100万元且符合下列相关标准的单位和个人：</w:t>
      </w:r>
    </w:p>
    <w:p w:rsidR="00B0558E" w:rsidRPr="004D6F13" w:rsidRDefault="00B0558E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（一）净资产不低于1000万元的单位；</w:t>
      </w:r>
    </w:p>
    <w:p w:rsidR="00B0558E" w:rsidRPr="004D6F13" w:rsidRDefault="00B0558E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（二）金融资产不低于300万元或者最近三年个人年均收入不低于50万元的个人。</w:t>
      </w:r>
    </w:p>
    <w:p w:rsidR="00DA7895" w:rsidRPr="004D6F13" w:rsidRDefault="00B0558E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前款所称金融资产包括银行存款、股票、债券、基金份额、资产管理计划、银行理财产品、信托计划、保险产品、期货权益等。</w:t>
      </w:r>
    </w:p>
    <w:p w:rsidR="000F7664" w:rsidRPr="004D6F13" w:rsidRDefault="00B03784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第四条</w:t>
      </w:r>
      <w:r w:rsidR="00830CB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DA7895" w:rsidRPr="004D6F13">
        <w:rPr>
          <w:rFonts w:asciiTheme="minorEastAsia" w:eastAsiaTheme="minorEastAsia" w:hAnsiTheme="minorEastAsia" w:hint="eastAsia"/>
          <w:sz w:val="28"/>
          <w:szCs w:val="28"/>
        </w:rPr>
        <w:t>下列投资者视为合格投资者：</w:t>
      </w:r>
    </w:p>
    <w:p w:rsidR="00B03784" w:rsidRPr="004D6F13" w:rsidRDefault="000F7664" w:rsidP="000F7664">
      <w:pPr>
        <w:spacing w:line="220" w:lineRule="atLeast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（一）社会保障基金、企业年金等养老基金，慈善基金等社会公益基金；</w:t>
      </w:r>
    </w:p>
    <w:p w:rsidR="000F7664" w:rsidRPr="004D6F13" w:rsidRDefault="000F7664" w:rsidP="000F7664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/>
          <w:sz w:val="28"/>
          <w:szCs w:val="28"/>
        </w:rPr>
      </w:pPr>
      <w:r w:rsidRPr="004D6F13">
        <w:rPr>
          <w:rFonts w:asciiTheme="minorEastAsia" w:eastAsiaTheme="minorEastAsia" w:hAnsiTheme="minorEastAsia" w:cs="Calibri" w:hint="eastAsia"/>
          <w:sz w:val="28"/>
          <w:szCs w:val="28"/>
        </w:rPr>
        <w:t>（二）</w:t>
      </w:r>
      <w:r w:rsidRPr="004D6F13">
        <w:rPr>
          <w:rFonts w:asciiTheme="minorEastAsia" w:eastAsiaTheme="minorEastAsia" w:hAnsiTheme="minorEastAsia" w:hint="eastAsia"/>
          <w:sz w:val="28"/>
          <w:szCs w:val="28"/>
        </w:rPr>
        <w:t>依法设立并在基金业协会备案的投资计划</w:t>
      </w:r>
      <w:r w:rsidRPr="004D6F13">
        <w:rPr>
          <w:rFonts w:asciiTheme="minorEastAsia" w:eastAsiaTheme="minorEastAsia" w:hAnsiTheme="minorEastAsia" w:cs="Calibri"/>
          <w:sz w:val="28"/>
          <w:szCs w:val="28"/>
        </w:rPr>
        <w:t>; </w:t>
      </w:r>
    </w:p>
    <w:p w:rsidR="000F7664" w:rsidRPr="004D6F13" w:rsidRDefault="000F7664" w:rsidP="000F7664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Calibri"/>
          <w:sz w:val="28"/>
          <w:szCs w:val="28"/>
        </w:rPr>
      </w:pPr>
      <w:r w:rsidRPr="004D6F13">
        <w:rPr>
          <w:rFonts w:asciiTheme="minorEastAsia" w:eastAsiaTheme="minorEastAsia" w:hAnsiTheme="minorEastAsia" w:cs="Calibri" w:hint="eastAsia"/>
          <w:sz w:val="28"/>
          <w:szCs w:val="28"/>
        </w:rPr>
        <w:t>（三）</w:t>
      </w:r>
      <w:r w:rsidRPr="004D6F13">
        <w:rPr>
          <w:rFonts w:asciiTheme="minorEastAsia" w:eastAsiaTheme="minorEastAsia" w:hAnsiTheme="minorEastAsia" w:hint="eastAsia"/>
          <w:sz w:val="28"/>
          <w:szCs w:val="28"/>
        </w:rPr>
        <w:t>投资于所管理私募基金的私募基金管理人及其从业人员</w:t>
      </w:r>
      <w:r w:rsidRPr="004D6F13">
        <w:rPr>
          <w:rFonts w:asciiTheme="minorEastAsia" w:eastAsiaTheme="minorEastAsia" w:hAnsiTheme="minorEastAsia" w:cs="Calibri"/>
          <w:sz w:val="28"/>
          <w:szCs w:val="28"/>
        </w:rPr>
        <w:t>; </w:t>
      </w:r>
    </w:p>
    <w:p w:rsidR="000F7664" w:rsidRDefault="000F7664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cs="Calibri" w:hint="eastAsia"/>
          <w:sz w:val="28"/>
          <w:szCs w:val="28"/>
        </w:rPr>
        <w:t>（四）</w:t>
      </w:r>
      <w:r w:rsidRPr="004D6F13">
        <w:rPr>
          <w:rFonts w:asciiTheme="minorEastAsia" w:eastAsiaTheme="minorEastAsia" w:hAnsiTheme="minorEastAsia" w:hint="eastAsia"/>
          <w:sz w:val="28"/>
          <w:szCs w:val="28"/>
        </w:rPr>
        <w:t>中国证监会规定的其他投资者</w:t>
      </w:r>
    </w:p>
    <w:p w:rsidR="002564E3" w:rsidRPr="004D6F13" w:rsidRDefault="002564E3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3A455C" w:rsidRDefault="004512DA" w:rsidP="000F7664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2564E3">
        <w:rPr>
          <w:rFonts w:asciiTheme="minorEastAsia" w:eastAsiaTheme="minorEastAsia" w:hAnsiTheme="minorEastAsia" w:hint="eastAsia"/>
          <w:sz w:val="32"/>
          <w:szCs w:val="32"/>
        </w:rPr>
        <w:t>三、投资者的分类</w:t>
      </w:r>
    </w:p>
    <w:p w:rsidR="002564E3" w:rsidRPr="002564E3" w:rsidRDefault="002564E3" w:rsidP="000F7664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4512DA" w:rsidRPr="004D6F13" w:rsidRDefault="004512DA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第五条</w:t>
      </w:r>
      <w:r w:rsidR="00830CB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3F1542" w:rsidRPr="004D6F13">
        <w:rPr>
          <w:rFonts w:asciiTheme="minorEastAsia" w:eastAsiaTheme="minorEastAsia" w:hAnsiTheme="minorEastAsia" w:hint="eastAsia"/>
          <w:sz w:val="28"/>
          <w:szCs w:val="28"/>
        </w:rPr>
        <w:t>合伙企业在向投资者销售产品时，应了解投资者的下列信息：</w:t>
      </w:r>
    </w:p>
    <w:p w:rsidR="003F1542" w:rsidRPr="004D6F13" w:rsidRDefault="00F1257B" w:rsidP="00473D13">
      <w:pPr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（一）自然人的姓名、住址、职业、年龄、联系方式，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法人或者其他组织的名称、注册地址、办公地址、性质、资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质及经营范围等基本信息；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（二）收入来源和数额、资产、债务等财务状况；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（三）投资相关的学习、工作经历及投资经验；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（四）投资期限、品种、期望收益等投资目标；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（五）风险偏好及可承受的损失；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（六）诚信记录；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（七）实际控制投资者的自然人和交易的实际受益人；</w:t>
      </w:r>
    </w:p>
    <w:p w:rsidR="00F1257B" w:rsidRPr="004D6F13" w:rsidRDefault="00F1257B" w:rsidP="00473D13">
      <w:pPr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（八）法律法规、自律规则规定的投资者准入要求相关信息；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（九）其他必要信息。</w:t>
      </w:r>
    </w:p>
    <w:p w:rsidR="00D569D1" w:rsidRPr="004D6F13" w:rsidRDefault="00D569D1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第六条</w:t>
      </w:r>
      <w:r w:rsidR="00830CB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   </w:t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本合伙企业依据所了解信息及</w:t>
      </w:r>
      <w:r w:rsidR="00473D13"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问卷调查结果对投资者划分情况：</w:t>
      </w:r>
    </w:p>
    <w:tbl>
      <w:tblPr>
        <w:tblW w:w="62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703"/>
        <w:gridCol w:w="1701"/>
        <w:gridCol w:w="1701"/>
        <w:gridCol w:w="1701"/>
        <w:gridCol w:w="1839"/>
      </w:tblGrid>
      <w:tr w:rsidR="00734597" w:rsidRPr="004D6F13" w:rsidTr="00734597">
        <w:trPr>
          <w:trHeight w:val="663"/>
        </w:trPr>
        <w:tc>
          <w:tcPr>
            <w:tcW w:w="934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投资者类型</w:t>
            </w:r>
          </w:p>
        </w:tc>
        <w:tc>
          <w:tcPr>
            <w:tcW w:w="801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保守型</w:t>
            </w:r>
            <w:r w:rsidR="0073459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(C1)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稳健型</w:t>
            </w:r>
            <w:r w:rsidR="0073459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(C2)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平衡型</w:t>
            </w:r>
            <w:r w:rsidR="0073459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(C3)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成长型</w:t>
            </w:r>
            <w:r w:rsidR="0073459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(C4)</w:t>
            </w:r>
          </w:p>
        </w:tc>
        <w:tc>
          <w:tcPr>
            <w:tcW w:w="865" w:type="pct"/>
          </w:tcPr>
          <w:p w:rsidR="00B567CC" w:rsidRPr="004D6F13" w:rsidRDefault="00502E33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积极</w:t>
            </w:r>
            <w:r w:rsidR="00B567CC"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型</w:t>
            </w:r>
            <w:r w:rsidR="0073459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(C5)</w:t>
            </w:r>
          </w:p>
        </w:tc>
      </w:tr>
      <w:tr w:rsidR="00734597" w:rsidRPr="004D6F13" w:rsidTr="00734597">
        <w:trPr>
          <w:trHeight w:val="663"/>
        </w:trPr>
        <w:tc>
          <w:tcPr>
            <w:tcW w:w="934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801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29</w:t>
            </w: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分及以下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30-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</w:t>
            </w: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5分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46-60分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61-75分</w:t>
            </w:r>
          </w:p>
        </w:tc>
        <w:tc>
          <w:tcPr>
            <w:tcW w:w="865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</w:t>
            </w: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分及以上</w:t>
            </w:r>
          </w:p>
        </w:tc>
      </w:tr>
      <w:tr w:rsidR="00734597" w:rsidRPr="004D6F13" w:rsidTr="00734597">
        <w:trPr>
          <w:trHeight w:val="696"/>
        </w:trPr>
        <w:tc>
          <w:tcPr>
            <w:tcW w:w="934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适合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基金评级</w:t>
            </w:r>
          </w:p>
        </w:tc>
        <w:tc>
          <w:tcPr>
            <w:tcW w:w="801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低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风险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中低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风险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风险</w:t>
            </w:r>
          </w:p>
        </w:tc>
        <w:tc>
          <w:tcPr>
            <w:tcW w:w="800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高风险</w:t>
            </w:r>
          </w:p>
        </w:tc>
        <w:tc>
          <w:tcPr>
            <w:tcW w:w="865" w:type="pct"/>
          </w:tcPr>
          <w:p w:rsidR="00B567CC" w:rsidRPr="004D6F13" w:rsidRDefault="00B567CC" w:rsidP="00B23FF2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D6F1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高</w:t>
            </w:r>
            <w:r w:rsidRPr="004D6F1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风险</w:t>
            </w:r>
          </w:p>
        </w:tc>
      </w:tr>
    </w:tbl>
    <w:p w:rsidR="00473D13" w:rsidRPr="004D6F13" w:rsidRDefault="00473D13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54AE6" w:rsidRDefault="00D54AE6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C6460" w:rsidRPr="004D6F13" w:rsidRDefault="001C6460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D6F13">
        <w:rPr>
          <w:rFonts w:asciiTheme="minorEastAsia" w:eastAsiaTheme="minorEastAsia" w:hAnsiTheme="minorEastAsia" w:hint="eastAsia"/>
          <w:sz w:val="28"/>
          <w:szCs w:val="28"/>
        </w:rPr>
        <w:t>第七条</w:t>
      </w:r>
      <w:r w:rsidR="00830CB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0D276D" w:rsidRPr="004D6F13">
        <w:rPr>
          <w:rFonts w:asciiTheme="minorEastAsia" w:eastAsiaTheme="minorEastAsia" w:hAnsiTheme="minorEastAsia" w:hint="eastAsia"/>
          <w:sz w:val="28"/>
          <w:szCs w:val="28"/>
        </w:rPr>
        <w:t>依据《证券期货投资者适当性管理办》要求的专业投资者：</w:t>
      </w:r>
    </w:p>
    <w:p w:rsidR="004D6F13" w:rsidRPr="004D6F13" w:rsidRDefault="004D6F13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一）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。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（二）上述机构面向投资者发行的理财产品，包括但不限于证券公司资产管理产品、基金管理公司及其子公司产品、期货公司资产管理产品、银行理财产品、保险产品、信托产品、经行业协会备案的私募基金。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lastRenderedPageBreak/>
        <w:t>（三）社会保障基金、企业年金等养老基金，慈善基金等社会公益基金，合格境外机构投资者（QFII） 、人民币合格境外机构投资者（RQFII） 。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（四）同时符合下列条件的法人或者其他组织：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1.最近 1 年末净资产不低于 2000 万元；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2.最近 1 年末金融资产不低于 1000 万元；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3.具有 2 年以上证券、基金、期货、黄金、外汇等投资经历。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（五）同时符合下列条件的自然人：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1.金融资产不低于 500 万元，或者最近 3 年个人年均收入不低于 50 万元；</w:t>
      </w:r>
      <w:r w:rsidRPr="004D6F13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2.具有 2 年以上证券、基金、期货、黄金、外汇等投资经历，或者具有 2 年以上金融产品设计、投资、风险管理及相关工作经历，或者属于本条第（一）项规定的专业投资者的高级管理人员、获得职业资格认证的从事金融相关业务的注册会计师和律师。</w:t>
      </w:r>
    </w:p>
    <w:p w:rsidR="000D276D" w:rsidRDefault="004D6F13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4D6F1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前款所称金融资产，是指银行存款、股票、债券、基金份额、资产管理计划、银行理财产品、信托计划、保险产品、期货及其他衍生产品等。</w:t>
      </w:r>
    </w:p>
    <w:p w:rsidR="00FF5511" w:rsidRDefault="00FF5511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第八条</w:t>
      </w:r>
      <w:r w:rsidR="00830CB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   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本合伙企业将专业投资者划分为</w:t>
      </w:r>
      <w:r w:rsidR="00973BBA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符合前款要求的机构专业投资者和自然人专业投资者，</w:t>
      </w:r>
      <w:r w:rsidR="002E4AD8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并</w:t>
      </w:r>
      <w:r w:rsidR="00973BBA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将专业投资者细分为</w:t>
      </w:r>
      <w:r w:rsidR="00FD559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一般专业投资者和特殊专业投资者。</w:t>
      </w:r>
    </w:p>
    <w:tbl>
      <w:tblPr>
        <w:tblStyle w:val="a5"/>
        <w:tblW w:w="9392" w:type="dxa"/>
        <w:tblLook w:val="04A0"/>
      </w:tblPr>
      <w:tblGrid>
        <w:gridCol w:w="817"/>
        <w:gridCol w:w="1701"/>
        <w:gridCol w:w="1418"/>
        <w:gridCol w:w="2268"/>
        <w:gridCol w:w="3188"/>
      </w:tblGrid>
      <w:tr w:rsidR="002B6750" w:rsidRPr="002B6750" w:rsidTr="00851EC9">
        <w:trPr>
          <w:trHeight w:val="809"/>
        </w:trPr>
        <w:tc>
          <w:tcPr>
            <w:tcW w:w="2518" w:type="dxa"/>
            <w:gridSpan w:val="2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业务资格</w:t>
            </w:r>
          </w:p>
        </w:tc>
        <w:tc>
          <w:tcPr>
            <w:tcW w:w="2268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投资实力</w:t>
            </w:r>
          </w:p>
        </w:tc>
        <w:tc>
          <w:tcPr>
            <w:tcW w:w="3188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投资经历</w:t>
            </w:r>
          </w:p>
        </w:tc>
      </w:tr>
      <w:tr w:rsidR="002B6750" w:rsidRPr="002B6750" w:rsidTr="00851EC9">
        <w:trPr>
          <w:trHeight w:val="480"/>
        </w:trPr>
        <w:tc>
          <w:tcPr>
            <w:tcW w:w="817" w:type="dxa"/>
            <w:vMerge w:val="restart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机构专业投资者</w:t>
            </w:r>
          </w:p>
        </w:tc>
        <w:tc>
          <w:tcPr>
            <w:tcW w:w="1701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一般专业投资者</w:t>
            </w:r>
          </w:p>
        </w:tc>
        <w:tc>
          <w:tcPr>
            <w:tcW w:w="1418" w:type="dxa"/>
            <w:vAlign w:val="center"/>
          </w:tcPr>
          <w:p w:rsidR="002B6750" w:rsidRPr="002B6750" w:rsidRDefault="001911C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 xml:space="preserve"> 主营业务为非证券类业务</w:t>
            </w:r>
          </w:p>
        </w:tc>
        <w:tc>
          <w:tcPr>
            <w:tcW w:w="2268" w:type="dxa"/>
            <w:vAlign w:val="center"/>
          </w:tcPr>
          <w:p w:rsidR="002B6750" w:rsidRPr="002B6750" w:rsidRDefault="00851EC9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最近1年末净资产不低于2000万元；最近1年末金融资产不低于1000万元；</w:t>
            </w:r>
          </w:p>
        </w:tc>
        <w:tc>
          <w:tcPr>
            <w:tcW w:w="3188" w:type="dxa"/>
            <w:vAlign w:val="center"/>
          </w:tcPr>
          <w:p w:rsidR="002B6750" w:rsidRPr="002B6750" w:rsidRDefault="0098364B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具有两年以上证券、基金、期货、黄金、外汇等投资经历</w:t>
            </w:r>
          </w:p>
        </w:tc>
      </w:tr>
      <w:tr w:rsidR="002B6750" w:rsidRPr="002B6750" w:rsidTr="00851EC9">
        <w:trPr>
          <w:trHeight w:val="457"/>
        </w:trPr>
        <w:tc>
          <w:tcPr>
            <w:tcW w:w="817" w:type="dxa"/>
            <w:vMerge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特殊专业投资者</w:t>
            </w:r>
          </w:p>
        </w:tc>
        <w:tc>
          <w:tcPr>
            <w:tcW w:w="1418" w:type="dxa"/>
            <w:vAlign w:val="center"/>
          </w:tcPr>
          <w:p w:rsidR="002B6750" w:rsidRPr="002B6750" w:rsidRDefault="001911C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主营业务为证券类</w:t>
            </w:r>
          </w:p>
        </w:tc>
        <w:tc>
          <w:tcPr>
            <w:tcW w:w="2268" w:type="dxa"/>
            <w:vAlign w:val="center"/>
          </w:tcPr>
          <w:p w:rsidR="002B6750" w:rsidRPr="002B6750" w:rsidRDefault="00851EC9" w:rsidP="00D17C3D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最近</w:t>
            </w:r>
            <w:r w:rsidR="00D17C3D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1</w:t>
            </w: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年末净资产不低于</w:t>
            </w:r>
            <w:r w:rsidR="00032439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5</w:t>
            </w: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000万元；最近</w:t>
            </w:r>
            <w:r w:rsidR="00D17C3D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1</w:t>
            </w: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年末金融资产不低于</w:t>
            </w:r>
            <w:r w:rsidR="00032439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3</w:t>
            </w: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000万元；</w:t>
            </w:r>
          </w:p>
        </w:tc>
        <w:tc>
          <w:tcPr>
            <w:tcW w:w="3188" w:type="dxa"/>
            <w:vAlign w:val="center"/>
          </w:tcPr>
          <w:p w:rsidR="002B6750" w:rsidRPr="002B6750" w:rsidRDefault="0098364B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具有五年以上证券、基金、期货、黄金、外汇等投资经历</w:t>
            </w:r>
          </w:p>
        </w:tc>
      </w:tr>
      <w:tr w:rsidR="002B6750" w:rsidRPr="002B6750" w:rsidTr="00851EC9">
        <w:trPr>
          <w:trHeight w:val="509"/>
        </w:trPr>
        <w:tc>
          <w:tcPr>
            <w:tcW w:w="817" w:type="dxa"/>
            <w:vMerge w:val="restart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自然人专业投资者</w:t>
            </w:r>
          </w:p>
        </w:tc>
        <w:tc>
          <w:tcPr>
            <w:tcW w:w="1701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一般专业投资者</w:t>
            </w:r>
          </w:p>
        </w:tc>
        <w:tc>
          <w:tcPr>
            <w:tcW w:w="1418" w:type="dxa"/>
            <w:vAlign w:val="center"/>
          </w:tcPr>
          <w:p w:rsidR="002B6750" w:rsidRPr="002B6750" w:rsidRDefault="007C2AF6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金融类从业人员</w:t>
            </w:r>
          </w:p>
        </w:tc>
        <w:tc>
          <w:tcPr>
            <w:tcW w:w="2268" w:type="dxa"/>
            <w:vAlign w:val="center"/>
          </w:tcPr>
          <w:p w:rsidR="002B6750" w:rsidRPr="002B6750" w:rsidRDefault="00E8068C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金融资产不低于500万元，或者最近3年个人年均收入不低于50万元；</w:t>
            </w:r>
          </w:p>
        </w:tc>
        <w:tc>
          <w:tcPr>
            <w:tcW w:w="3188" w:type="dxa"/>
            <w:vAlign w:val="center"/>
          </w:tcPr>
          <w:p w:rsidR="002B6750" w:rsidRPr="002B6750" w:rsidRDefault="00A93593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具有两年以上证券、基金、期货、黄金、外汇等投资经历，或者具有2年以上金融产品涉及、投资、风险管理及相关工作经历</w:t>
            </w:r>
          </w:p>
        </w:tc>
      </w:tr>
      <w:tr w:rsidR="002B6750" w:rsidRPr="002B6750" w:rsidTr="00851EC9">
        <w:trPr>
          <w:trHeight w:val="457"/>
        </w:trPr>
        <w:tc>
          <w:tcPr>
            <w:tcW w:w="817" w:type="dxa"/>
            <w:vMerge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6750" w:rsidRPr="002B6750" w:rsidRDefault="002B6750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2B6750"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特殊专业投资者</w:t>
            </w:r>
          </w:p>
        </w:tc>
        <w:tc>
          <w:tcPr>
            <w:tcW w:w="1418" w:type="dxa"/>
            <w:vAlign w:val="center"/>
          </w:tcPr>
          <w:p w:rsidR="002B6750" w:rsidRPr="002B6750" w:rsidRDefault="007C2AF6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证券类产品设计、投资、风险管理从业人员</w:t>
            </w:r>
          </w:p>
        </w:tc>
        <w:tc>
          <w:tcPr>
            <w:tcW w:w="2268" w:type="dxa"/>
            <w:vAlign w:val="center"/>
          </w:tcPr>
          <w:p w:rsidR="002B6750" w:rsidRPr="002B6750" w:rsidRDefault="00E8068C" w:rsidP="00E8068C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金融资产不低于1000万元，或者最近3年个人年均收入不低于200万元；</w:t>
            </w:r>
          </w:p>
        </w:tc>
        <w:tc>
          <w:tcPr>
            <w:tcW w:w="3188" w:type="dxa"/>
            <w:vAlign w:val="center"/>
          </w:tcPr>
          <w:p w:rsidR="002B6750" w:rsidRPr="002B6750" w:rsidRDefault="00A93593" w:rsidP="002B6750">
            <w:pPr>
              <w:spacing w:line="220" w:lineRule="atLeast"/>
              <w:jc w:val="center"/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style01"/>
                <w:rFonts w:asciiTheme="minorEastAsia" w:eastAsiaTheme="minorEastAsia" w:hAnsiTheme="minorEastAsia" w:hint="default"/>
                <w:sz w:val="21"/>
                <w:szCs w:val="21"/>
              </w:rPr>
              <w:t>具有五年以上证券、基金、期货、黄金、外汇等投资经历，或者具有5年以上金融产品涉及、投资、风险管理及相关工作经历</w:t>
            </w:r>
          </w:p>
        </w:tc>
      </w:tr>
    </w:tbl>
    <w:p w:rsidR="00FC7B2D" w:rsidRDefault="00FC7B2D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</w:p>
    <w:p w:rsidR="00563215" w:rsidRDefault="00563215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</w:p>
    <w:p w:rsidR="000E3E38" w:rsidRPr="00563215" w:rsidRDefault="000E3E38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</w:rPr>
      </w:pPr>
      <w:r w:rsidRPr="00563215">
        <w:rPr>
          <w:rStyle w:val="fontstyle01"/>
          <w:rFonts w:asciiTheme="minorEastAsia" w:eastAsiaTheme="minorEastAsia" w:hAnsiTheme="minorEastAsia" w:hint="default"/>
        </w:rPr>
        <w:t>四、普通投资者的特别保护</w:t>
      </w:r>
    </w:p>
    <w:p w:rsidR="00563215" w:rsidRDefault="00563215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</w:p>
    <w:p w:rsidR="00C9501A" w:rsidRDefault="00C9501A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第九条    专业投资者之外的投资者为普通投资者。</w:t>
      </w:r>
      <w:r w:rsidR="00843BCD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普通投资者按照应了解的信息对其进行问卷划分。在信息告知、风险警示、适当性匹配等方面享有特别保护。</w:t>
      </w:r>
    </w:p>
    <w:p w:rsidR="000E3E38" w:rsidRDefault="000E3E38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第十条    </w:t>
      </w:r>
      <w:r w:rsidR="008F59C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合伙企业向普通投资者销售产品前告知下列信息：</w:t>
      </w:r>
    </w:p>
    <w:p w:rsidR="008F59C3" w:rsidRDefault="008F59C3" w:rsidP="000F7664">
      <w:pPr>
        <w:spacing w:line="220" w:lineRule="atLeast"/>
        <w:rPr>
          <w:rStyle w:val="fontstyle01"/>
          <w:rFonts w:hint="default"/>
          <w:sz w:val="28"/>
          <w:szCs w:val="28"/>
        </w:rPr>
      </w:pPr>
      <w:r w:rsidRPr="008F59C3">
        <w:rPr>
          <w:rStyle w:val="fontstyle01"/>
          <w:rFonts w:hint="default"/>
          <w:sz w:val="28"/>
          <w:szCs w:val="28"/>
        </w:rPr>
        <w:t>（一）可能直接导致本金亏损的事项；</w:t>
      </w:r>
      <w:r w:rsidRPr="008F59C3">
        <w:rPr>
          <w:rFonts w:hint="eastAsia"/>
          <w:color w:val="000000"/>
          <w:sz w:val="28"/>
          <w:szCs w:val="28"/>
        </w:rPr>
        <w:br/>
      </w:r>
      <w:r w:rsidRPr="008F59C3">
        <w:rPr>
          <w:rStyle w:val="fontstyle01"/>
          <w:rFonts w:hint="default"/>
          <w:sz w:val="28"/>
          <w:szCs w:val="28"/>
        </w:rPr>
        <w:t>（二）可能直接导致超过原始本金损失的事项；</w:t>
      </w:r>
      <w:r w:rsidRPr="008F59C3">
        <w:rPr>
          <w:rFonts w:hint="eastAsia"/>
          <w:color w:val="000000"/>
          <w:sz w:val="28"/>
          <w:szCs w:val="28"/>
        </w:rPr>
        <w:br/>
      </w:r>
      <w:r w:rsidRPr="008F59C3">
        <w:rPr>
          <w:rStyle w:val="fontstyle01"/>
          <w:rFonts w:hint="default"/>
          <w:sz w:val="28"/>
          <w:szCs w:val="28"/>
        </w:rPr>
        <w:t>（三）因经营机构的业务或者财产状况变化，可能导致本金或者原始本金亏损的事项；</w:t>
      </w:r>
      <w:r w:rsidRPr="008F59C3">
        <w:rPr>
          <w:rFonts w:hint="eastAsia"/>
          <w:color w:val="000000"/>
          <w:sz w:val="28"/>
          <w:szCs w:val="28"/>
        </w:rPr>
        <w:br/>
      </w:r>
      <w:r w:rsidRPr="008F59C3">
        <w:rPr>
          <w:rStyle w:val="fontstyle01"/>
          <w:rFonts w:hint="default"/>
          <w:sz w:val="28"/>
          <w:szCs w:val="28"/>
        </w:rPr>
        <w:t>（四）因经营机构的业务或者财产状况变化，影响客户判断的重要事由；</w:t>
      </w:r>
      <w:r w:rsidRPr="008F59C3">
        <w:rPr>
          <w:rFonts w:hint="eastAsia"/>
          <w:color w:val="000000"/>
          <w:sz w:val="28"/>
          <w:szCs w:val="28"/>
        </w:rPr>
        <w:br/>
      </w:r>
      <w:r w:rsidRPr="008F59C3">
        <w:rPr>
          <w:rStyle w:val="fontstyle01"/>
          <w:rFonts w:hint="default"/>
          <w:sz w:val="28"/>
          <w:szCs w:val="28"/>
        </w:rPr>
        <w:t>（五）限制销售对象权利行使期限或者可解除合同期限等全部限制内容；</w:t>
      </w:r>
      <w:r w:rsidRPr="008F59C3">
        <w:rPr>
          <w:rFonts w:hint="eastAsia"/>
          <w:color w:val="000000"/>
          <w:sz w:val="28"/>
          <w:szCs w:val="28"/>
        </w:rPr>
        <w:br/>
      </w:r>
      <w:r w:rsidRPr="008F59C3">
        <w:rPr>
          <w:rStyle w:val="fontstyle01"/>
          <w:rFonts w:hint="default"/>
          <w:sz w:val="28"/>
          <w:szCs w:val="28"/>
        </w:rPr>
        <w:t>（六）</w:t>
      </w:r>
      <w:r w:rsidR="00426D1C">
        <w:rPr>
          <w:rStyle w:val="fontstyle01"/>
          <w:rFonts w:hint="default"/>
          <w:sz w:val="28"/>
          <w:szCs w:val="28"/>
        </w:rPr>
        <w:t>明确投资者分类、产品分级、适当性匹配的方法、依据、流程，并严格按照匹配结果对投资者提出匹配意见。</w:t>
      </w:r>
    </w:p>
    <w:p w:rsidR="00426D1C" w:rsidRDefault="00F07BDD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以上内容合伙企业保证真实、准确、完整，不存在虚假记载、误导性陈述或者重大遗漏，语言通俗易懂；并以书面形式—风险揭示书送达投资者，并尤其签字确认已充分理解和接收。</w:t>
      </w:r>
    </w:p>
    <w:p w:rsidR="004D68E5" w:rsidRDefault="004D68E5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五、</w:t>
      </w:r>
      <w:r w:rsidR="00090F74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风险承受能力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最低类别</w:t>
      </w:r>
      <w:r w:rsidR="00090F74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投资者</w:t>
      </w:r>
    </w:p>
    <w:p w:rsidR="00833E4A" w:rsidRPr="00554545" w:rsidRDefault="00833E4A" w:rsidP="00833E4A">
      <w:pPr>
        <w:spacing w:line="220" w:lineRule="atLeas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554545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风险承受能力最低类别投资者</w:t>
      </w:r>
      <w:r w:rsidR="00BF24F1" w:rsidRPr="00554545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，指</w:t>
      </w:r>
      <w:r w:rsidR="00554545" w:rsidRPr="00554545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经过合伙企业评估为C1型且符合</w:t>
      </w:r>
      <w:r w:rsidR="00554545" w:rsidRPr="00554545">
        <w:rPr>
          <w:rFonts w:asciiTheme="minorEastAsia" w:eastAsiaTheme="minorEastAsia" w:hAnsiTheme="minorEastAsia"/>
          <w:color w:val="000000"/>
          <w:sz w:val="28"/>
          <w:szCs w:val="28"/>
        </w:rPr>
        <w:t>下列情形之一的普通投资者：</w:t>
      </w:r>
    </w:p>
    <w:p w:rsidR="00554545" w:rsidRPr="00554545" w:rsidRDefault="00554545" w:rsidP="00833E4A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554545">
        <w:rPr>
          <w:rFonts w:asciiTheme="minorEastAsia" w:eastAsiaTheme="minorEastAsia" w:hAnsiTheme="minorEastAsia"/>
          <w:color w:val="000000"/>
          <w:sz w:val="28"/>
          <w:szCs w:val="28"/>
        </w:rPr>
        <w:t>（一）不具有完全民事行为能力；</w:t>
      </w:r>
      <w:r w:rsidRPr="00554545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554545">
        <w:rPr>
          <w:rFonts w:asciiTheme="minorEastAsia" w:eastAsiaTheme="minorEastAsia" w:hAnsiTheme="minorEastAsia"/>
          <w:color w:val="000000"/>
          <w:sz w:val="28"/>
          <w:szCs w:val="28"/>
        </w:rPr>
        <w:t>（二）不具备证券期货投资知识或者金融投资经验；</w:t>
      </w:r>
      <w:r w:rsidR="002254FE">
        <w:rPr>
          <w:rFonts w:asciiTheme="minorEastAsia" w:eastAsiaTheme="minorEastAsia" w:hAnsiTheme="minorEastAsia" w:hint="eastAsia"/>
          <w:color w:val="000000"/>
          <w:sz w:val="28"/>
          <w:szCs w:val="28"/>
        </w:rPr>
        <w:t>（由合伙企业进行判断）</w:t>
      </w:r>
      <w:r w:rsidRPr="00554545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554545">
        <w:rPr>
          <w:rFonts w:asciiTheme="minorEastAsia" w:eastAsiaTheme="minorEastAsia" w:hAnsiTheme="minorEastAsia"/>
          <w:color w:val="000000"/>
          <w:sz w:val="28"/>
          <w:szCs w:val="28"/>
        </w:rPr>
        <w:t>（三）仅追求稳健收益或者表现出极低的风险容忍程度；</w:t>
      </w:r>
      <w:r w:rsidRPr="00554545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554545">
        <w:rPr>
          <w:rFonts w:asciiTheme="minorEastAsia" w:eastAsiaTheme="minorEastAsia" w:hAnsiTheme="minorEastAsia"/>
          <w:color w:val="000000"/>
          <w:sz w:val="28"/>
          <w:szCs w:val="28"/>
        </w:rPr>
        <w:t>（四）中国证监会、基金业协会或者基金募集机构认定的其他情形。</w:t>
      </w:r>
    </w:p>
    <w:p w:rsidR="00C305A2" w:rsidRDefault="00CB1D61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为保障投资者利益，</w:t>
      </w:r>
      <w:r w:rsidR="003B41DD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本合伙企业讲禁止面向此类投资者进行募集工作。</w:t>
      </w:r>
      <w:r w:rsidR="004A09C3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在确认其不属于风险承受能力最低类别的投资者后，投资者主动要求购买风险等级高于其风险承受能力的产品，应当就产品风险</w:t>
      </w:r>
      <w:r w:rsidR="004A09C3">
        <w:rPr>
          <w:rStyle w:val="fontstyle01"/>
          <w:rFonts w:asciiTheme="minorEastAsia" w:eastAsiaTheme="minorEastAsia" w:hAnsiTheme="minorEastAsia" w:hint="default"/>
          <w:sz w:val="28"/>
          <w:szCs w:val="28"/>
        </w:rPr>
        <w:lastRenderedPageBreak/>
        <w:t>高于其承受能力进行特别的书面风险警示，投资者扔坚持购买的，可以向其销售相关产品。</w:t>
      </w:r>
    </w:p>
    <w:p w:rsidR="00F07BDD" w:rsidRDefault="00833E4A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</w:rPr>
      </w:pPr>
      <w:r>
        <w:rPr>
          <w:rStyle w:val="fontstyle01"/>
          <w:rFonts w:asciiTheme="minorEastAsia" w:eastAsiaTheme="minorEastAsia" w:hAnsiTheme="minorEastAsia" w:hint="default"/>
        </w:rPr>
        <w:t>六</w:t>
      </w:r>
      <w:r w:rsidR="00C305A2" w:rsidRPr="00C305A2">
        <w:rPr>
          <w:rStyle w:val="fontstyle01"/>
          <w:rFonts w:asciiTheme="minorEastAsia" w:eastAsiaTheme="minorEastAsia" w:hAnsiTheme="minorEastAsia" w:hint="default"/>
        </w:rPr>
        <w:t>、附则</w:t>
      </w:r>
    </w:p>
    <w:p w:rsidR="00066D01" w:rsidRDefault="00066D01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</w:rPr>
      </w:pPr>
    </w:p>
    <w:p w:rsidR="00197EF5" w:rsidRPr="00171E85" w:rsidRDefault="00171E85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171E85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第十一条    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本制度自2017年7月1日起实施</w:t>
      </w:r>
    </w:p>
    <w:p w:rsidR="00843BCD" w:rsidRPr="00066D01" w:rsidRDefault="00C52F10" w:rsidP="000F7664">
      <w:pPr>
        <w:spacing w:line="220" w:lineRule="atLeas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第十二条   </w:t>
      </w:r>
      <w:r w:rsidRPr="00066D01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="00066D01" w:rsidRPr="00066D01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本制度</w:t>
      </w:r>
      <w:r w:rsidR="00066D01" w:rsidRPr="00066D01">
        <w:rPr>
          <w:rFonts w:asciiTheme="minorEastAsia" w:eastAsiaTheme="minorEastAsia" w:hAnsiTheme="minorEastAsia"/>
          <w:sz w:val="28"/>
          <w:szCs w:val="28"/>
        </w:rPr>
        <w:t>由合伙企业</w:t>
      </w:r>
      <w:r w:rsidR="00066D01" w:rsidRPr="00066D01">
        <w:rPr>
          <w:rFonts w:asciiTheme="minorEastAsia" w:eastAsiaTheme="minorEastAsia" w:hAnsiTheme="minorEastAsia" w:hint="eastAsia"/>
          <w:sz w:val="28"/>
          <w:szCs w:val="28"/>
        </w:rPr>
        <w:t>风控合规</w:t>
      </w:r>
      <w:r w:rsidR="00066D01" w:rsidRPr="00066D01">
        <w:rPr>
          <w:rFonts w:asciiTheme="minorEastAsia" w:eastAsiaTheme="minorEastAsia" w:hAnsiTheme="minorEastAsia"/>
          <w:sz w:val="28"/>
          <w:szCs w:val="28"/>
        </w:rPr>
        <w:t>部门负责制定、修订与解释，本制度未尽事宜，按相关法律法规执行。</w:t>
      </w:r>
    </w:p>
    <w:p w:rsidR="00FD5590" w:rsidRPr="004D6F13" w:rsidRDefault="00FD5590" w:rsidP="000F766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FD5590" w:rsidRPr="004D6F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41" w:rsidRDefault="00212A41" w:rsidP="0021091C">
      <w:pPr>
        <w:spacing w:after="0"/>
      </w:pPr>
      <w:r>
        <w:separator/>
      </w:r>
    </w:p>
  </w:endnote>
  <w:endnote w:type="continuationSeparator" w:id="0">
    <w:p w:rsidR="00212A41" w:rsidRDefault="00212A41" w:rsidP="002109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41" w:rsidRDefault="00212A41" w:rsidP="0021091C">
      <w:pPr>
        <w:spacing w:after="0"/>
      </w:pPr>
      <w:r>
        <w:separator/>
      </w:r>
    </w:p>
  </w:footnote>
  <w:footnote w:type="continuationSeparator" w:id="0">
    <w:p w:rsidR="00212A41" w:rsidRDefault="00212A41" w:rsidP="002109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439"/>
    <w:rsid w:val="00066D01"/>
    <w:rsid w:val="0008096D"/>
    <w:rsid w:val="00090F74"/>
    <w:rsid w:val="000D276D"/>
    <w:rsid w:val="000E3E38"/>
    <w:rsid w:val="000F7664"/>
    <w:rsid w:val="00102B30"/>
    <w:rsid w:val="00122F8E"/>
    <w:rsid w:val="00171E85"/>
    <w:rsid w:val="001911C0"/>
    <w:rsid w:val="00197EF5"/>
    <w:rsid w:val="001C6460"/>
    <w:rsid w:val="0021091C"/>
    <w:rsid w:val="00212A41"/>
    <w:rsid w:val="002254FE"/>
    <w:rsid w:val="002564E3"/>
    <w:rsid w:val="002B6750"/>
    <w:rsid w:val="002E4AD8"/>
    <w:rsid w:val="00323B43"/>
    <w:rsid w:val="00351146"/>
    <w:rsid w:val="0036249B"/>
    <w:rsid w:val="003A455C"/>
    <w:rsid w:val="003B41DD"/>
    <w:rsid w:val="003D37D8"/>
    <w:rsid w:val="003D5CA5"/>
    <w:rsid w:val="003F1542"/>
    <w:rsid w:val="00426133"/>
    <w:rsid w:val="00426D1C"/>
    <w:rsid w:val="004358AB"/>
    <w:rsid w:val="004512DA"/>
    <w:rsid w:val="0046706A"/>
    <w:rsid w:val="00473D13"/>
    <w:rsid w:val="00491630"/>
    <w:rsid w:val="004A09C3"/>
    <w:rsid w:val="004C7D34"/>
    <w:rsid w:val="004D68E5"/>
    <w:rsid w:val="004D6F13"/>
    <w:rsid w:val="00502E33"/>
    <w:rsid w:val="0053706F"/>
    <w:rsid w:val="00552DA1"/>
    <w:rsid w:val="00554545"/>
    <w:rsid w:val="00563215"/>
    <w:rsid w:val="00577AC0"/>
    <w:rsid w:val="00584F63"/>
    <w:rsid w:val="005A0CC3"/>
    <w:rsid w:val="005C2F88"/>
    <w:rsid w:val="00734597"/>
    <w:rsid w:val="0079040F"/>
    <w:rsid w:val="007C2AF6"/>
    <w:rsid w:val="00830CB9"/>
    <w:rsid w:val="00833E4A"/>
    <w:rsid w:val="00843BCD"/>
    <w:rsid w:val="00851EC9"/>
    <w:rsid w:val="0088634F"/>
    <w:rsid w:val="008B0414"/>
    <w:rsid w:val="008B7726"/>
    <w:rsid w:val="008F59C3"/>
    <w:rsid w:val="0093772C"/>
    <w:rsid w:val="00950209"/>
    <w:rsid w:val="00973BBA"/>
    <w:rsid w:val="0098364B"/>
    <w:rsid w:val="009A26B3"/>
    <w:rsid w:val="00A93593"/>
    <w:rsid w:val="00B03784"/>
    <w:rsid w:val="00B0558E"/>
    <w:rsid w:val="00B517A5"/>
    <w:rsid w:val="00B567CC"/>
    <w:rsid w:val="00B87CEC"/>
    <w:rsid w:val="00BF2154"/>
    <w:rsid w:val="00BF24F1"/>
    <w:rsid w:val="00C305A2"/>
    <w:rsid w:val="00C52F10"/>
    <w:rsid w:val="00C863C7"/>
    <w:rsid w:val="00C9501A"/>
    <w:rsid w:val="00CB1D61"/>
    <w:rsid w:val="00D17C3D"/>
    <w:rsid w:val="00D31D50"/>
    <w:rsid w:val="00D54AE6"/>
    <w:rsid w:val="00D569D1"/>
    <w:rsid w:val="00D957F1"/>
    <w:rsid w:val="00DA7895"/>
    <w:rsid w:val="00DC159F"/>
    <w:rsid w:val="00E27053"/>
    <w:rsid w:val="00E8068C"/>
    <w:rsid w:val="00E84C6A"/>
    <w:rsid w:val="00F07BDD"/>
    <w:rsid w:val="00F1257B"/>
    <w:rsid w:val="00F81D0B"/>
    <w:rsid w:val="00FC7B2D"/>
    <w:rsid w:val="00FD5590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9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9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9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91C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rsid w:val="000F76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F1257B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table" w:styleId="a5">
    <w:name w:val="Table Grid"/>
    <w:basedOn w:val="a1"/>
    <w:uiPriority w:val="59"/>
    <w:rsid w:val="002B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dcterms:created xsi:type="dcterms:W3CDTF">2008-09-11T17:20:00Z</dcterms:created>
  <dcterms:modified xsi:type="dcterms:W3CDTF">2017-06-27T02:10:00Z</dcterms:modified>
</cp:coreProperties>
</file>